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Szanowni Państwo,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w załączeniu parafowana przeze mnie uchwała dot. kadencji władz jednostek pomocniczych Gminy Mosina.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W mojej ocenie zapisy dot. kadencyjności mogłyby się znaleźć w treści uchwały wprowadzającej statuty jednostek,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jednakże zaproponowane przez Radę rozwiązanie nie powinno zostać zakwestionowane przez organ nadzoru.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Jednocześnie informuję, że w mailu z 31 sierpnia 2018 r. przekazałem Państwu opinię w sprawie wątpliwości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dotyczących okresu kadencji władz jednostek pomocniczych. Stanowisko w nim zawarte, podtrzymuję.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  <w:r>
        <w:rPr>
          <w:rFonts w:ascii="Arial" w:hAnsi="Arial" w:cs="Arial"/>
          <w:color w:val="1F497D"/>
          <w:sz w:val="20"/>
          <w:szCs w:val="20"/>
          <w:lang w:eastAsia="pl-PL"/>
        </w:rPr>
        <w:t>Z poważaniem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</w:p>
    <w:p w:rsidR="006E4926" w:rsidRDefault="006E4926" w:rsidP="006E4926">
      <w:pP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  <w:t>Michał Walkowiak</w:t>
      </w:r>
    </w:p>
    <w:p w:rsidR="006E4926" w:rsidRDefault="006E4926" w:rsidP="006E4926">
      <w:pP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  <w:t>radca prawny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  <w:r>
        <w:rPr>
          <w:rFonts w:ascii="Arial" w:hAnsi="Arial" w:cs="Arial"/>
          <w:color w:val="1F497D"/>
          <w:sz w:val="20"/>
          <w:szCs w:val="20"/>
          <w:lang w:eastAsia="pl-PL"/>
        </w:rPr>
        <w:t>Kancelaria Radców Prawnych Zygmunt Jerzmanowski i Wspólnicy sp. k.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val="en-US" w:eastAsia="pl-PL"/>
        </w:rPr>
      </w:pPr>
      <w:bookmarkStart w:id="0" w:name="_GoBack"/>
      <w:bookmarkEnd w:id="0"/>
      <w:r>
        <w:rPr>
          <w:rFonts w:ascii="Arial" w:hAnsi="Arial" w:cs="Arial"/>
          <w:color w:val="1F497D"/>
          <w:sz w:val="20"/>
          <w:szCs w:val="20"/>
          <w:lang w:val="en-US" w:eastAsia="pl-PL"/>
        </w:rPr>
        <w:t> 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val="en-US" w:eastAsia="pl-PL"/>
        </w:rPr>
      </w:pPr>
      <w:r>
        <w:rPr>
          <w:rFonts w:ascii="Arial" w:hAnsi="Arial" w:cs="Arial"/>
          <w:color w:val="1F497D"/>
          <w:sz w:val="20"/>
          <w:szCs w:val="20"/>
          <w:lang w:val="en-US" w:eastAsia="pl-PL"/>
        </w:rPr>
        <w:t>-------------------------------------------------------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</w:p>
    <w:p w:rsidR="006E4926" w:rsidRDefault="006E4926" w:rsidP="006E4926">
      <w:pPr>
        <w:outlineLvl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From:</w:t>
      </w:r>
      <w:r>
        <w:rPr>
          <w:rFonts w:ascii="Tahoma" w:hAnsi="Tahoma" w:cs="Tahoma"/>
          <w:sz w:val="20"/>
          <w:szCs w:val="20"/>
          <w:lang w:eastAsia="pl-PL"/>
        </w:rPr>
        <w:t xml:space="preserve"> Michał Walkowiak 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, August 31, 2018 12:00 PM</w:t>
      </w:r>
      <w:r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b/>
          <w:bCs/>
          <w:sz w:val="20"/>
          <w:szCs w:val="20"/>
          <w:lang w:eastAsia="pl-PL"/>
        </w:rPr>
        <w:t>To:</w:t>
      </w:r>
      <w:r>
        <w:rPr>
          <w:rFonts w:ascii="Tahoma" w:hAnsi="Tahoma" w:cs="Tahoma"/>
          <w:sz w:val="20"/>
          <w:szCs w:val="20"/>
          <w:lang w:eastAsia="pl-PL"/>
        </w:rPr>
        <w:t xml:space="preserve"> 'Rada Miejska w Mosinie'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Łukasz Grzybek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RE: Kadencja władz jednostek pomocniczych Gminy Mosina i skargi pana Vogta</w:t>
      </w:r>
    </w:p>
    <w:p w:rsidR="006E4926" w:rsidRDefault="006E4926" w:rsidP="006E4926"/>
    <w:p w:rsidR="006E4926" w:rsidRDefault="006E4926" w:rsidP="006E4926">
      <w:pPr>
        <w:rPr>
          <w:rFonts w:ascii="Arial Nova" w:hAnsi="Arial Nova"/>
          <w:sz w:val="20"/>
          <w:szCs w:val="20"/>
          <w:shd w:val="clear" w:color="auto" w:fill="FFFFFF"/>
        </w:rPr>
      </w:pPr>
      <w:r>
        <w:rPr>
          <w:rFonts w:ascii="Arial Nova" w:hAnsi="Arial Nova"/>
          <w:sz w:val="20"/>
          <w:szCs w:val="20"/>
          <w:shd w:val="clear" w:color="auto" w:fill="FFFFFF"/>
        </w:rPr>
        <w:t>Szanowni Państwo,</w:t>
      </w:r>
    </w:p>
    <w:p w:rsidR="006E4926" w:rsidRDefault="006E4926" w:rsidP="006E4926">
      <w:pPr>
        <w:rPr>
          <w:rFonts w:ascii="Arial Nova" w:hAnsi="Arial Nova"/>
          <w:sz w:val="20"/>
          <w:szCs w:val="20"/>
          <w:shd w:val="clear" w:color="auto" w:fill="FFFFFF"/>
        </w:rPr>
      </w:pPr>
    </w:p>
    <w:p w:rsidR="006E4926" w:rsidRDefault="006E4926" w:rsidP="006E4926">
      <w:pPr>
        <w:rPr>
          <w:rFonts w:ascii="Arial Nova" w:hAnsi="Arial Nova"/>
          <w:sz w:val="20"/>
          <w:szCs w:val="20"/>
          <w:shd w:val="clear" w:color="auto" w:fill="FFFFFF"/>
        </w:rPr>
      </w:pPr>
      <w:r>
        <w:rPr>
          <w:rFonts w:ascii="Arial Nova" w:hAnsi="Arial Nova"/>
          <w:sz w:val="20"/>
          <w:szCs w:val="20"/>
          <w:shd w:val="clear" w:color="auto" w:fill="FFFFFF"/>
        </w:rPr>
        <w:t>zgodnie z art. 35 ust. 1 Ustawy z dnia 9 marca 1990 r. o samorządzie gminny (</w:t>
      </w:r>
      <w:proofErr w:type="spellStart"/>
      <w:r>
        <w:rPr>
          <w:rFonts w:ascii="Arial Nova" w:hAnsi="Arial Nova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 Nova" w:hAnsi="Arial Nova"/>
          <w:sz w:val="20"/>
          <w:szCs w:val="20"/>
          <w:shd w:val="clear" w:color="auto" w:fill="FFFFFF"/>
        </w:rPr>
        <w:t xml:space="preserve">. Dz. U. z 2018 r., </w:t>
      </w:r>
      <w:r>
        <w:rPr>
          <w:rFonts w:ascii="Arial Nova" w:hAnsi="Arial Nova"/>
          <w:sz w:val="20"/>
          <w:szCs w:val="20"/>
          <w:shd w:val="clear" w:color="auto" w:fill="FFFFFF"/>
        </w:rPr>
        <w:br/>
      </w:r>
      <w:r>
        <w:rPr>
          <w:rFonts w:ascii="Arial Nova" w:hAnsi="Arial Nova"/>
          <w:sz w:val="20"/>
          <w:szCs w:val="20"/>
          <w:shd w:val="clear" w:color="auto" w:fill="FFFFFF"/>
        </w:rPr>
        <w:t>poz. 994 ze zm.) organizację i zakres</w:t>
      </w:r>
      <w:r>
        <w:rPr>
          <w:rFonts w:ascii="Arial Nova" w:hAnsi="Arial Nova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/>
          <w:sz w:val="20"/>
          <w:szCs w:val="20"/>
          <w:shd w:val="clear" w:color="auto" w:fill="FFFFFF"/>
        </w:rPr>
        <w:t>działania jednostki pomocniczej określa rada gminy odrębnym statutem. Statut jednostki pomocniczej określa w szczególności</w:t>
      </w:r>
      <w:r>
        <w:rPr>
          <w:rFonts w:ascii="Arial Nova" w:hAnsi="Arial Nova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/>
          <w:sz w:val="20"/>
          <w:szCs w:val="20"/>
          <w:shd w:val="clear" w:color="auto" w:fill="FFFFFF"/>
        </w:rPr>
        <w:t xml:space="preserve">zasady i tryb wyborów organów jednostki pomocniczej (art. 35 ust. 3 pkt 2 ww. Ustawy). Zatem to rada gminy precyzuje w statucie </w:t>
      </w:r>
    </w:p>
    <w:p w:rsidR="006E4926" w:rsidRDefault="006E4926" w:rsidP="006E4926">
      <w:pPr>
        <w:rPr>
          <w:rFonts w:ascii="Arial Nova" w:hAnsi="Arial Nova"/>
          <w:sz w:val="20"/>
          <w:szCs w:val="20"/>
          <w:shd w:val="clear" w:color="auto" w:fill="FFFFFF"/>
        </w:rPr>
      </w:pPr>
      <w:r>
        <w:rPr>
          <w:rFonts w:ascii="Arial Nova" w:hAnsi="Arial Nova"/>
          <w:sz w:val="20"/>
          <w:szCs w:val="20"/>
          <w:shd w:val="clear" w:color="auto" w:fill="FFFFFF"/>
        </w:rPr>
        <w:t>jednostki długość trwania kadencji jej organów, albowiem żaden przepis rangi ustawowej nie reguluje tych kwestii.</w:t>
      </w:r>
    </w:p>
    <w:p w:rsidR="006E4926" w:rsidRDefault="006E4926" w:rsidP="006E4926">
      <w:pPr>
        <w:rPr>
          <w:rFonts w:ascii="Arial Nova" w:hAnsi="Arial Nova"/>
          <w:sz w:val="20"/>
          <w:szCs w:val="20"/>
          <w:shd w:val="clear" w:color="auto" w:fill="FFFFFF"/>
        </w:rPr>
      </w:pPr>
      <w:r>
        <w:rPr>
          <w:rFonts w:ascii="Arial Nova" w:hAnsi="Arial Nova"/>
          <w:sz w:val="20"/>
          <w:szCs w:val="20"/>
          <w:shd w:val="clear" w:color="auto" w:fill="FFFFFF"/>
        </w:rPr>
        <w:t>W wyroku Naczelnego Sądu Administracyjnego z 9 czerwca 2010 r. (sygn. akt II OSK 378/10) Sąd orzekł, że:</w:t>
      </w:r>
      <w:r>
        <w:rPr>
          <w:rFonts w:ascii="Arial Nova" w:hAnsi="Arial Nova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/>
          <w:sz w:val="20"/>
          <w:szCs w:val="20"/>
          <w:shd w:val="clear" w:color="auto" w:fill="FFFFFF"/>
        </w:rPr>
        <w:t>„</w:t>
      </w:r>
      <w:r>
        <w:rPr>
          <w:rFonts w:ascii="Arial Nova" w:hAnsi="Arial Nova"/>
          <w:sz w:val="20"/>
          <w:szCs w:val="20"/>
        </w:rPr>
        <w:t xml:space="preserve">[…] </w:t>
      </w:r>
      <w:r>
        <w:rPr>
          <w:rFonts w:ascii="Arial Nova" w:hAnsi="Arial Nova"/>
          <w:i/>
          <w:iCs/>
          <w:sz w:val="20"/>
          <w:szCs w:val="20"/>
        </w:rPr>
        <w:t>przedłużenie kadencji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i/>
          <w:iCs/>
          <w:sz w:val="20"/>
          <w:szCs w:val="20"/>
        </w:rPr>
        <w:t>stanowi bardzo istotne, jednostkowe odstępstwo od tych zasad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i/>
          <w:iCs/>
          <w:sz w:val="20"/>
          <w:szCs w:val="20"/>
        </w:rPr>
        <w:t xml:space="preserve">(zasad kadencyjności – </w:t>
      </w:r>
      <w:proofErr w:type="spellStart"/>
      <w:r>
        <w:rPr>
          <w:rFonts w:ascii="Arial Nova" w:hAnsi="Arial Nova"/>
          <w:i/>
          <w:iCs/>
          <w:sz w:val="20"/>
          <w:szCs w:val="20"/>
        </w:rPr>
        <w:t>dop</w:t>
      </w:r>
      <w:proofErr w:type="spellEnd"/>
      <w:r>
        <w:rPr>
          <w:rFonts w:ascii="Arial Nova" w:hAnsi="Arial Nova"/>
          <w:i/>
          <w:iCs/>
          <w:sz w:val="20"/>
          <w:szCs w:val="20"/>
        </w:rPr>
        <w:t>. własny).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b/>
          <w:bCs/>
          <w:i/>
          <w:iCs/>
          <w:sz w:val="20"/>
          <w:szCs w:val="20"/>
        </w:rPr>
        <w:t xml:space="preserve">Dlatego takie odstępstwo nie musi być zamieszczone </w:t>
      </w:r>
      <w:r>
        <w:rPr>
          <w:rFonts w:ascii="Arial Nova" w:hAnsi="Arial Nova"/>
          <w:b/>
          <w:bCs/>
          <w:i/>
          <w:iCs/>
          <w:sz w:val="20"/>
          <w:szCs w:val="20"/>
        </w:rPr>
        <w:br/>
      </w:r>
      <w:r>
        <w:rPr>
          <w:rFonts w:ascii="Arial Nova" w:hAnsi="Arial Nova"/>
          <w:b/>
          <w:bCs/>
          <w:i/>
          <w:iCs/>
          <w:sz w:val="20"/>
          <w:szCs w:val="20"/>
        </w:rPr>
        <w:t xml:space="preserve">w statucie z racji swego incydentalnego charakteru, </w:t>
      </w:r>
      <w:r>
        <w:rPr>
          <w:rFonts w:ascii="Arial Nova" w:hAnsi="Arial Nova"/>
          <w:b/>
          <w:bCs/>
          <w:i/>
          <w:iCs/>
          <w:sz w:val="20"/>
          <w:szCs w:val="20"/>
          <w:u w:val="single"/>
        </w:rPr>
        <w:t>ale musi być wyraźnie legitymowane przez stosowne odesłanie (upoważnienie) zamieszczone w statucie jednostki pomocniczej</w:t>
      </w:r>
      <w:r>
        <w:rPr>
          <w:rFonts w:ascii="Arial Nova" w:hAnsi="Arial Nova"/>
          <w:i/>
          <w:iCs/>
          <w:sz w:val="20"/>
          <w:szCs w:val="20"/>
          <w:u w:val="single"/>
        </w:rPr>
        <w:t>.</w:t>
      </w:r>
      <w:r>
        <w:rPr>
          <w:rFonts w:ascii="Arial Nova" w:hAnsi="Arial Nova"/>
          <w:i/>
          <w:iCs/>
          <w:sz w:val="20"/>
          <w:szCs w:val="20"/>
        </w:rPr>
        <w:t xml:space="preserve"> Skoro statut został wskazany ustawą jako miejsce określenia zasad wyborów, to tym samym – tylko w statucie mogą być ustalone wyjątki od tej zasady, bądź – zapisana zostanie delegacja do czynienia incydentalnych wyjątków od zasad statutowych</w:t>
      </w:r>
      <w:r>
        <w:rPr>
          <w:rFonts w:ascii="Arial Nova" w:hAnsi="Arial Nova"/>
          <w:sz w:val="20"/>
          <w:szCs w:val="20"/>
        </w:rPr>
        <w:t>.</w:t>
      </w:r>
    </w:p>
    <w:p w:rsidR="006E4926" w:rsidRDefault="006E4926" w:rsidP="006E4926">
      <w:p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Zarówno w dotychczasowych jak i nowych statutach sołectw nie wskazano, aby wprowadzenie nowego statutu sołectwa było jednoznaczne z wygaszeniem dotychczasowych kadencji sołtysa i rady sołeckiej (</w:t>
      </w:r>
      <w:r>
        <w:rPr>
          <w:rFonts w:ascii="Arial Nova" w:hAnsi="Arial Nova"/>
          <w:b/>
          <w:bCs/>
          <w:sz w:val="20"/>
          <w:szCs w:val="20"/>
        </w:rPr>
        <w:t>lub ich przedłużeniem</w:t>
      </w:r>
      <w:r>
        <w:rPr>
          <w:rFonts w:ascii="Arial Nova" w:hAnsi="Arial Nova"/>
          <w:sz w:val="20"/>
          <w:szCs w:val="20"/>
        </w:rPr>
        <w:t>/</w:t>
      </w:r>
      <w:r>
        <w:rPr>
          <w:rFonts w:ascii="Arial Nova" w:hAnsi="Arial Nova"/>
          <w:b/>
          <w:bCs/>
          <w:sz w:val="20"/>
          <w:szCs w:val="20"/>
        </w:rPr>
        <w:t>skróceniem</w:t>
      </w:r>
      <w:r>
        <w:rPr>
          <w:rFonts w:ascii="Arial Nova" w:hAnsi="Arial Nova"/>
          <w:sz w:val="20"/>
          <w:szCs w:val="20"/>
        </w:rPr>
        <w:t xml:space="preserve">). </w:t>
      </w:r>
    </w:p>
    <w:p w:rsidR="006E4926" w:rsidRDefault="006E4926" w:rsidP="006E4926">
      <w:p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Z tego też względu, kadencje tych organów trwają nadal. Mając zatem na uwadze, treść ww. orzeczenia i analizę treści statutów,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w mojej ocenie kadencja dotychczasowych władz sołectw wygasa po czterech latach, a dopiero kadencja </w:t>
      </w:r>
      <w:proofErr w:type="spellStart"/>
      <w:r>
        <w:rPr>
          <w:rFonts w:ascii="Arial Nova" w:hAnsi="Arial Nova"/>
          <w:sz w:val="20"/>
          <w:szCs w:val="20"/>
        </w:rPr>
        <w:t>nowoustanowionych</w:t>
      </w:r>
      <w:proofErr w:type="spellEnd"/>
      <w:r>
        <w:rPr>
          <w:rFonts w:ascii="Arial Nova" w:hAnsi="Arial Nova"/>
          <w:sz w:val="20"/>
          <w:szCs w:val="20"/>
        </w:rPr>
        <w:t xml:space="preserve"> organów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na mocy aktualnie obowiązujących statutów będzie trwała 5 lat.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</w:rPr>
      </w:pP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  <w:r>
        <w:rPr>
          <w:rFonts w:ascii="Arial" w:hAnsi="Arial" w:cs="Arial"/>
          <w:color w:val="1F497D"/>
          <w:sz w:val="20"/>
          <w:szCs w:val="20"/>
          <w:lang w:eastAsia="pl-PL"/>
        </w:rPr>
        <w:t>Z poważaniem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</w:p>
    <w:p w:rsidR="006E4926" w:rsidRDefault="006E4926" w:rsidP="006E4926">
      <w:pP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  <w:t>Michał Walkowiak</w:t>
      </w:r>
    </w:p>
    <w:p w:rsidR="006E4926" w:rsidRDefault="006E4926" w:rsidP="006E4926">
      <w:pP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pl-PL"/>
        </w:rPr>
        <w:t>radca prawny</w:t>
      </w:r>
    </w:p>
    <w:p w:rsidR="006E4926" w:rsidRDefault="006E4926" w:rsidP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</w:p>
    <w:p w:rsidR="00524969" w:rsidRPr="006E4926" w:rsidRDefault="006E4926">
      <w:pPr>
        <w:rPr>
          <w:rFonts w:ascii="Arial" w:hAnsi="Arial" w:cs="Arial"/>
          <w:color w:val="1F497D"/>
          <w:sz w:val="20"/>
          <w:szCs w:val="20"/>
          <w:lang w:eastAsia="pl-PL"/>
        </w:rPr>
      </w:pPr>
      <w:r>
        <w:rPr>
          <w:rFonts w:ascii="Arial" w:hAnsi="Arial" w:cs="Arial"/>
          <w:color w:val="1F497D"/>
          <w:sz w:val="20"/>
          <w:szCs w:val="20"/>
          <w:lang w:eastAsia="pl-PL"/>
        </w:rPr>
        <w:t>Kancelaria Radców Prawnych Zygmunt Jerzmanowski i Wspólnicy sp. k.</w:t>
      </w:r>
    </w:p>
    <w:sectPr w:rsidR="00524969" w:rsidRPr="006E4926" w:rsidSect="006E49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26"/>
    <w:rsid w:val="00524969"/>
    <w:rsid w:val="006E4926"/>
    <w:rsid w:val="00994F43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4AE"/>
  <w15:chartTrackingRefBased/>
  <w15:docId w15:val="{3F321BF0-F2A7-4873-9F57-19828A8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92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</cp:revision>
  <dcterms:created xsi:type="dcterms:W3CDTF">2019-03-20T13:39:00Z</dcterms:created>
  <dcterms:modified xsi:type="dcterms:W3CDTF">2019-03-20T13:44:00Z</dcterms:modified>
</cp:coreProperties>
</file>